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104bis</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216479</w:t>
      </w:r>
      <w:bookmarkStart w:id="2" w:name="_GoBack"/>
      <w:bookmarkEnd w:id="2"/>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cs="Arial"/>
          <w:b/>
          <w:bCs/>
          <w:sz w:val="24"/>
          <w:szCs w:val="24"/>
          <w:lang w:val="en-US" w:eastAsia="zh-CN"/>
        </w:rPr>
        <w:t xml:space="preserve">10 </w:t>
      </w:r>
      <w:r>
        <w:rPr>
          <w:rFonts w:ascii="Arial" w:hAnsi="Arial" w:cs="Arial"/>
          <w:b/>
          <w:bCs/>
          <w:sz w:val="24"/>
          <w:szCs w:val="24"/>
        </w:rPr>
        <w:t>–</w:t>
      </w:r>
      <w:r>
        <w:rPr>
          <w:rFonts w:hint="eastAsia" w:ascii="Arial" w:hAnsi="Arial" w:eastAsia="宋体" w:cs="Arial"/>
          <w:b/>
          <w:bCs/>
          <w:sz w:val="24"/>
          <w:szCs w:val="24"/>
          <w:lang w:val="en-US" w:eastAsia="zh-CN"/>
        </w:rPr>
        <w:t xml:space="preserve"> 19</w:t>
      </w:r>
      <w:r>
        <w:rPr>
          <w:rFonts w:ascii="Arial" w:hAnsi="Arial" w:eastAsia="宋体"/>
          <w:b/>
          <w:color w:val="auto"/>
          <w:sz w:val="24"/>
          <w:lang w:eastAsia="zh-CN"/>
        </w:rPr>
        <w:t xml:space="preserve">, </w:t>
      </w:r>
      <w:r>
        <w:rPr>
          <w:rFonts w:hint="eastAsia" w:ascii="Arial" w:hAnsi="Arial" w:eastAsia="宋体"/>
          <w:b/>
          <w:color w:val="auto"/>
          <w:sz w:val="24"/>
          <w:lang w:val="en-US" w:eastAsia="zh-CN"/>
        </w:rPr>
        <w:t xml:space="preserve">Oct, </w:t>
      </w:r>
      <w:r>
        <w:rPr>
          <w:rFonts w:ascii="Arial" w:hAnsi="Arial" w:eastAsia="宋体"/>
          <w:b/>
          <w:color w:val="auto"/>
          <w:sz w:val="24"/>
          <w:lang w:eastAsia="zh-CN"/>
        </w:rPr>
        <w:t>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the L1 part enhancement of RRM requirements for FR2 SCell activation delay reduction</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6.9.2.1</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96 meeting, a new WID[1] for Rel-18 was approved </w:t>
      </w:r>
      <w:r>
        <w:rPr>
          <w:rFonts w:hint="eastAsia"/>
          <w:lang w:val="en-US" w:eastAsia="zh-CN"/>
        </w:rPr>
        <w:t>to identify further RRM enhancement for NR and MR-DC. The objective of this WID is as follows</w:t>
      </w:r>
      <w:r>
        <w:rPr>
          <w:rFonts w:hint="eastAsia" w:eastAsia="宋体"/>
          <w:color w:val="auto"/>
          <w:sz w:val="20"/>
          <w:szCs w:val="20"/>
          <w:lang w:val="en-US" w:eastAsia="zh-CN"/>
        </w:rPr>
        <w: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7"/>
              <w:keepNext w:val="0"/>
              <w:keepLines w:val="0"/>
              <w:pageBreakBefore w:val="0"/>
              <w:widowControl w:val="0"/>
              <w:numPr>
                <w:ilvl w:val="0"/>
                <w:numId w:val="4"/>
              </w:numPr>
              <w:kinsoku/>
              <w:wordWrap/>
              <w:overflowPunct/>
              <w:topLinePunct w:val="0"/>
              <w:autoSpaceDE/>
              <w:autoSpaceDN/>
              <w:bidi w:val="0"/>
              <w:adjustRightInd/>
              <w:snapToGrid/>
              <w:ind w:left="-120" w:leftChars="0"/>
              <w:jc w:val="both"/>
              <w:textAlignment w:val="auto"/>
              <w:rPr>
                <w:rFonts w:eastAsia="Batang"/>
                <w:lang w:val="en-US"/>
              </w:rPr>
            </w:pPr>
            <w:bookmarkStart w:id="0" w:name="OLE_LINK2"/>
            <w:bookmarkStart w:id="1" w:name="OLE_LINK1"/>
            <w:r>
              <w:rPr>
                <w:rFonts w:eastAsia="Batang"/>
                <w:lang w:val="en-US"/>
              </w:rPr>
              <w:t>FR2 SCell activation delay reduction</w:t>
            </w:r>
          </w:p>
          <w:p>
            <w:pPr>
              <w:pStyle w:val="27"/>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lang w:val="en-US"/>
              </w:rPr>
            </w:pPr>
            <w:r>
              <w:rPr>
                <w:rFonts w:eastAsia="Batang"/>
                <w:lang w:val="en-US"/>
              </w:rPr>
              <w:t>Identify cases where FR2 SCell activation delay can be reduced (e.g., unknown target cell cases), and specify reduced delay requirements for such cases, including but not limited to [RAN4]</w:t>
            </w:r>
          </w:p>
          <w:p>
            <w:pPr>
              <w:pStyle w:val="27"/>
              <w:keepNext w:val="0"/>
              <w:keepLines w:val="0"/>
              <w:pageBreakBefore w:val="0"/>
              <w:widowControl w:val="0"/>
              <w:numPr>
                <w:ilvl w:val="2"/>
                <w:numId w:val="4"/>
              </w:numPr>
              <w:kinsoku/>
              <w:wordWrap/>
              <w:overflowPunct/>
              <w:topLinePunct w:val="0"/>
              <w:autoSpaceDE/>
              <w:autoSpaceDN/>
              <w:bidi w:val="0"/>
              <w:adjustRightInd/>
              <w:snapToGrid/>
              <w:ind w:left="1320" w:leftChars="0"/>
              <w:jc w:val="both"/>
              <w:textAlignment w:val="auto"/>
              <w:rPr>
                <w:rFonts w:eastAsia="Batang"/>
                <w:lang w:val="en-US"/>
              </w:rPr>
            </w:pPr>
            <w:r>
              <w:rPr>
                <w:rFonts w:eastAsia="Batang"/>
                <w:lang w:val="en-US"/>
              </w:rPr>
              <w:t>Study and, if feasible, enhance cell detection for unknown SCell and time/frequency tracking</w:t>
            </w:r>
          </w:p>
          <w:p>
            <w:pPr>
              <w:pStyle w:val="27"/>
              <w:keepNext w:val="0"/>
              <w:keepLines w:val="0"/>
              <w:pageBreakBefore w:val="0"/>
              <w:widowControl w:val="0"/>
              <w:numPr>
                <w:ilvl w:val="2"/>
                <w:numId w:val="4"/>
              </w:numPr>
              <w:kinsoku/>
              <w:wordWrap/>
              <w:overflowPunct/>
              <w:topLinePunct w:val="0"/>
              <w:autoSpaceDE/>
              <w:autoSpaceDN/>
              <w:bidi w:val="0"/>
              <w:adjustRightInd/>
              <w:snapToGrid/>
              <w:ind w:left="1320" w:leftChars="0"/>
              <w:jc w:val="both"/>
              <w:textAlignment w:val="auto"/>
              <w:rPr>
                <w:rFonts w:eastAsia="Batang"/>
                <w:lang w:val="en-US"/>
              </w:rPr>
            </w:pPr>
            <w:r>
              <w:rPr>
                <w:rFonts w:eastAsia="Batang"/>
                <w:lang w:val="en-US"/>
              </w:rPr>
              <w:t>Study and, if feasible, enhance L1-RSRP measurement delay reduction on target SCell</w:t>
            </w:r>
          </w:p>
          <w:p>
            <w:pPr>
              <w:pStyle w:val="27"/>
              <w:keepNext w:val="0"/>
              <w:keepLines w:val="0"/>
              <w:pageBreakBefore w:val="0"/>
              <w:widowControl w:val="0"/>
              <w:numPr>
                <w:ilvl w:val="2"/>
                <w:numId w:val="4"/>
              </w:numPr>
              <w:kinsoku/>
              <w:wordWrap/>
              <w:overflowPunct/>
              <w:topLinePunct w:val="0"/>
              <w:autoSpaceDE/>
              <w:autoSpaceDN/>
              <w:bidi w:val="0"/>
              <w:adjustRightInd/>
              <w:snapToGrid/>
              <w:ind w:left="1320" w:leftChars="0"/>
              <w:jc w:val="both"/>
              <w:textAlignment w:val="auto"/>
              <w:rPr>
                <w:rFonts w:eastAsia="Batang"/>
                <w:lang w:val="en-US"/>
              </w:rPr>
            </w:pPr>
            <w:r>
              <w:rPr>
                <w:rFonts w:eastAsia="Batang"/>
                <w:lang w:val="en-US"/>
              </w:rPr>
              <w:t>Note: Subject to RAN4’s agreement, the technical solutions can be extended to other general RRM requirements if applicable.</w:t>
            </w:r>
          </w:p>
          <w:p>
            <w:pPr>
              <w:pStyle w:val="27"/>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highlight w:val="none"/>
                <w:lang w:val="en-US"/>
              </w:rPr>
            </w:pPr>
            <w:r>
              <w:rPr>
                <w:rFonts w:eastAsia="Batang"/>
                <w:highlight w:val="none"/>
                <w:lang w:val="en-US"/>
              </w:rPr>
              <w:t>Specify if needed, reference signal enhancement and/or signaling enhancement for the UE to meet the enhanced delay requirements [RAN4, RAN2]</w:t>
            </w:r>
          </w:p>
          <w:p>
            <w:pPr>
              <w:pStyle w:val="27"/>
              <w:keepNext w:val="0"/>
              <w:keepLines w:val="0"/>
              <w:pageBreakBefore w:val="0"/>
              <w:widowControl w:val="0"/>
              <w:numPr>
                <w:ilvl w:val="2"/>
                <w:numId w:val="4"/>
              </w:numPr>
              <w:kinsoku/>
              <w:wordWrap/>
              <w:overflowPunct/>
              <w:topLinePunct w:val="0"/>
              <w:autoSpaceDE/>
              <w:autoSpaceDN/>
              <w:bidi w:val="0"/>
              <w:adjustRightInd/>
              <w:snapToGrid/>
              <w:ind w:left="1320" w:leftChars="0"/>
              <w:jc w:val="both"/>
              <w:textAlignment w:val="auto"/>
              <w:rPr>
                <w:rFonts w:eastAsia="Batang"/>
                <w:highlight w:val="none"/>
                <w:lang w:val="en-US"/>
              </w:rPr>
            </w:pPr>
            <w:r>
              <w:rPr>
                <w:rFonts w:eastAsia="Batang"/>
                <w:highlight w:val="none"/>
                <w:lang w:val="en-US"/>
              </w:rPr>
              <w:t>Note: No RAN1 work, i.e. introducing new RS, is expected.</w:t>
            </w:r>
          </w:p>
          <w:p>
            <w:pPr>
              <w:pStyle w:val="27"/>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highlight w:val="none"/>
                <w:lang w:val="en-US"/>
              </w:rPr>
            </w:pPr>
            <w:r>
              <w:rPr>
                <w:rFonts w:eastAsia="Batang"/>
                <w:highlight w:val="none"/>
                <w:lang w:val="en-US"/>
              </w:rPr>
              <w:t>Note: the technical solutions can be extended to FR1, when applicable</w:t>
            </w:r>
          </w:p>
          <w:p>
            <w:pPr>
              <w:pStyle w:val="27"/>
              <w:keepNext w:val="0"/>
              <w:keepLines w:val="0"/>
              <w:pageBreakBefore w:val="0"/>
              <w:widowControl w:val="0"/>
              <w:numPr>
                <w:ilvl w:val="0"/>
                <w:numId w:val="4"/>
              </w:numPr>
              <w:kinsoku/>
              <w:wordWrap/>
              <w:overflowPunct/>
              <w:topLinePunct w:val="0"/>
              <w:autoSpaceDE/>
              <w:autoSpaceDN/>
              <w:bidi w:val="0"/>
              <w:adjustRightInd/>
              <w:snapToGrid/>
              <w:ind w:left="-120" w:leftChars="0"/>
              <w:jc w:val="both"/>
              <w:textAlignment w:val="auto"/>
              <w:rPr>
                <w:lang w:eastAsia="zh-TW"/>
              </w:rPr>
            </w:pPr>
            <w:r>
              <w:rPr>
                <w:lang w:eastAsia="zh-TW"/>
              </w:rPr>
              <w:t xml:space="preserve">Define RRM requirements for FR1-FR1 NR-DC scenarios [RAN4] </w:t>
            </w:r>
          </w:p>
          <w:p>
            <w:pPr>
              <w:pStyle w:val="27"/>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lang w:val="en-US"/>
              </w:rPr>
            </w:pPr>
            <w:r>
              <w:rPr>
                <w:rFonts w:eastAsia="Batang"/>
                <w:lang w:val="en-US"/>
              </w:rPr>
              <w:t>RRM requirements include the number of serving carriers, PSCell addition/release delay requirement, PSCell change and conditional PSCell change delay, scheduling availability, and CSSF. Other Rel-15 requirements are not precluded and are subject to WI stage discussion.</w:t>
            </w:r>
          </w:p>
          <w:p>
            <w:pPr>
              <w:pStyle w:val="27"/>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lang w:val="en-US"/>
              </w:rPr>
            </w:pPr>
            <w:r>
              <w:rPr>
                <w:rFonts w:eastAsia="Batang"/>
                <w:lang w:val="en-US"/>
              </w:rPr>
              <w:t>For R16 and R17 features, RRM requirements for FR1-FR1 NR-DC including HO with PSCell, SCG activation/deactivation and CPA</w:t>
            </w:r>
            <w:r>
              <w:rPr>
                <w:rFonts w:hint="eastAsia" w:eastAsia="Batang"/>
                <w:lang w:val="en-US" w:eastAsia="zh-CN"/>
              </w:rPr>
              <w:t>C</w:t>
            </w:r>
            <w:r>
              <w:rPr>
                <w:rFonts w:eastAsia="Batang"/>
                <w:lang w:val="en-US" w:eastAsia="zh-CN"/>
              </w:rPr>
              <w:t>.</w:t>
            </w:r>
          </w:p>
          <w:bookmarkEnd w:id="0"/>
          <w:bookmarkEnd w:id="1"/>
          <w:p>
            <w:pPr>
              <w:pStyle w:val="27"/>
              <w:keepNext w:val="0"/>
              <w:keepLines w:val="0"/>
              <w:pageBreakBefore w:val="0"/>
              <w:widowControl w:val="0"/>
              <w:numPr>
                <w:ilvl w:val="2"/>
                <w:numId w:val="4"/>
              </w:numPr>
              <w:kinsoku/>
              <w:wordWrap/>
              <w:overflowPunct/>
              <w:topLinePunct w:val="0"/>
              <w:autoSpaceDE/>
              <w:autoSpaceDN/>
              <w:bidi w:val="0"/>
              <w:adjustRightInd/>
              <w:snapToGrid/>
              <w:ind w:left="1020" w:leftChars="0"/>
              <w:jc w:val="both"/>
              <w:textAlignment w:val="auto"/>
              <w:rPr>
                <w:rFonts w:hint="default" w:ascii="Times New Roman" w:hAnsi="Times New Roman" w:cs="Times New Roman" w:eastAsiaTheme="minorEastAsia"/>
                <w:b/>
                <w:kern w:val="0"/>
                <w:sz w:val="20"/>
                <w:szCs w:val="24"/>
                <w:u w:val="single"/>
                <w:lang w:val="en-US" w:eastAsia="zh-CN" w:bidi="ar-SA"/>
              </w:rPr>
            </w:pPr>
            <w:r>
              <w:rPr>
                <w:rFonts w:eastAsia="Batang"/>
                <w:highlight w:val="none"/>
                <w:lang w:val="en-US"/>
              </w:rPr>
              <w:t xml:space="preserve"> Note: no other R16/17 features are considered</w:t>
            </w:r>
          </w:p>
        </w:tc>
      </w:tr>
    </w:tbl>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Base on the scope of WID, two aspects around the RRM enhancements for NR and MR-DC were identified from multiple candidate options proposed in RAN plenary. During 104 meeting, RAN4 had some general discussion about the two sub-topics and some high-level agreements were achieved in [2]. The goals of 1</w:t>
      </w:r>
      <w:r>
        <w:rPr>
          <w:rFonts w:hint="eastAsia" w:eastAsia="宋体"/>
          <w:color w:val="auto"/>
          <w:sz w:val="20"/>
          <w:szCs w:val="20"/>
          <w:vertAlign w:val="superscript"/>
          <w:lang w:val="en-US" w:eastAsia="zh-CN"/>
        </w:rPr>
        <w:t>st</w:t>
      </w:r>
      <w:r>
        <w:rPr>
          <w:rFonts w:hint="eastAsia" w:eastAsia="宋体"/>
          <w:color w:val="auto"/>
          <w:sz w:val="20"/>
          <w:szCs w:val="20"/>
          <w:lang w:val="en-US" w:eastAsia="zh-CN"/>
        </w:rPr>
        <w:t xml:space="preserve"> phase and 2</w:t>
      </w:r>
      <w:r>
        <w:rPr>
          <w:rFonts w:hint="eastAsia" w:eastAsia="宋体"/>
          <w:color w:val="auto"/>
          <w:sz w:val="20"/>
          <w:szCs w:val="20"/>
          <w:vertAlign w:val="superscript"/>
          <w:lang w:val="en-US" w:eastAsia="zh-CN"/>
        </w:rPr>
        <w:t>nd</w:t>
      </w:r>
      <w:r>
        <w:rPr>
          <w:rFonts w:hint="eastAsia" w:eastAsia="宋体"/>
          <w:color w:val="auto"/>
          <w:sz w:val="20"/>
          <w:szCs w:val="20"/>
          <w:lang w:val="en-US" w:eastAsia="zh-CN"/>
        </w:rPr>
        <w:t xml:space="preserve"> phase have been also identified in [3], which is meaningful to our future discussion.</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autoSpaceDE w:val="0"/>
              <w:autoSpaceDN w:val="0"/>
              <w:adjustRightInd w:val="0"/>
              <w:spacing w:after="0" w:line="360" w:lineRule="auto"/>
              <w:rPr>
                <w:rFonts w:eastAsiaTheme="minorEastAsia"/>
                <w:sz w:val="20"/>
                <w:szCs w:val="20"/>
                <w:highlight w:val="green"/>
              </w:rPr>
            </w:pPr>
            <w:r>
              <w:rPr>
                <w:rFonts w:eastAsiaTheme="minorEastAsia"/>
                <w:sz w:val="20"/>
                <w:szCs w:val="20"/>
                <w:highlight w:val="green"/>
              </w:rPr>
              <w:t>Agreement:</w:t>
            </w:r>
          </w:p>
          <w:p>
            <w:pPr>
              <w:numPr>
                <w:ilvl w:val="0"/>
                <w:numId w:val="5"/>
              </w:numPr>
              <w:autoSpaceDE w:val="0"/>
              <w:autoSpaceDN w:val="0"/>
              <w:adjustRightInd w:val="0"/>
              <w:spacing w:after="0" w:line="360" w:lineRule="auto"/>
              <w:rPr>
                <w:rFonts w:eastAsia="宋体"/>
                <w:sz w:val="20"/>
                <w:lang w:val="en-GB"/>
              </w:rPr>
            </w:pPr>
            <w:r>
              <w:rPr>
                <w:rFonts w:eastAsia="宋体"/>
                <w:sz w:val="20"/>
                <w:lang w:val="en-GB"/>
              </w:rPr>
              <w:t>1</w:t>
            </w:r>
            <w:r>
              <w:rPr>
                <w:rFonts w:eastAsia="宋体"/>
                <w:sz w:val="20"/>
                <w:vertAlign w:val="superscript"/>
                <w:lang w:val="en-GB"/>
              </w:rPr>
              <w:t>st</w:t>
            </w:r>
            <w:r>
              <w:rPr>
                <w:rFonts w:eastAsia="宋体"/>
                <w:sz w:val="20"/>
                <w:lang w:val="en-GB"/>
              </w:rPr>
              <w:t xml:space="preserve"> phase: RAN4 starts the discussion of the R18 unknown FR2 SCell activation enhancement based on baseline FR2 SCell activation requirement in TS38.133 section 8.3.2 </w:t>
            </w:r>
          </w:p>
          <w:p>
            <w:pPr>
              <w:numPr>
                <w:ilvl w:val="1"/>
                <w:numId w:val="5"/>
              </w:numPr>
              <w:autoSpaceDE w:val="0"/>
              <w:autoSpaceDN w:val="0"/>
              <w:adjustRightInd w:val="0"/>
              <w:spacing w:after="0" w:line="360" w:lineRule="auto"/>
              <w:rPr>
                <w:rFonts w:eastAsia="宋体"/>
                <w:sz w:val="20"/>
                <w:lang w:val="en-GB"/>
              </w:rPr>
            </w:pPr>
            <w:r>
              <w:rPr>
                <w:sz w:val="20"/>
                <w:szCs w:val="20"/>
              </w:rPr>
              <w:t>Discuss the</w:t>
            </w:r>
            <w:r>
              <w:t> </w:t>
            </w:r>
            <w:r>
              <w:rPr>
                <w:sz w:val="20"/>
                <w:szCs w:val="20"/>
              </w:rPr>
              <w:t>feasibility</w:t>
            </w:r>
            <w:r>
              <w:t> </w:t>
            </w:r>
            <w:r>
              <w:rPr>
                <w:sz w:val="20"/>
                <w:szCs w:val="20"/>
              </w:rPr>
              <w:t>and method of SCell activation enhancement based on AP-CSI-RS and/or A-TRS</w:t>
            </w:r>
          </w:p>
          <w:p>
            <w:pPr>
              <w:numPr>
                <w:ilvl w:val="0"/>
                <w:numId w:val="5"/>
              </w:numPr>
              <w:autoSpaceDE w:val="0"/>
              <w:autoSpaceDN w:val="0"/>
              <w:adjustRightInd w:val="0"/>
              <w:spacing w:after="0" w:line="360" w:lineRule="auto"/>
              <w:rPr>
                <w:rFonts w:eastAsia="宋体"/>
                <w:sz w:val="20"/>
                <w:lang w:val="en-GB"/>
              </w:rPr>
            </w:pPr>
            <w:r>
              <w:rPr>
                <w:rFonts w:eastAsia="宋体"/>
                <w:sz w:val="20"/>
                <w:lang w:val="en-GB"/>
              </w:rPr>
              <w:t>2</w:t>
            </w:r>
            <w:r>
              <w:rPr>
                <w:rFonts w:eastAsia="宋体"/>
                <w:sz w:val="20"/>
                <w:vertAlign w:val="superscript"/>
                <w:lang w:val="en-GB"/>
              </w:rPr>
              <w:t>nd</w:t>
            </w:r>
            <w:r>
              <w:rPr>
                <w:rFonts w:eastAsia="宋体"/>
                <w:sz w:val="20"/>
                <w:lang w:val="en-GB"/>
              </w:rPr>
              <w:t xml:space="preserve"> phase: the other SCell activation cases, e.g., multiple SCell activation, direct SCell activation, and PUCCH SCell activation, to be discussed </w:t>
            </w:r>
            <w:r>
              <w:rPr>
                <w:rFonts w:eastAsia="宋体"/>
                <w:sz w:val="20"/>
                <w:highlight w:val="none"/>
                <w:lang w:val="en-GB"/>
              </w:rPr>
              <w:t>after baseline case (i.e. single FR2 SCell activation) is completed</w:t>
            </w:r>
            <w:r>
              <w:rPr>
                <w:rFonts w:eastAsia="宋体"/>
                <w:sz w:val="20"/>
                <w:lang w:val="en-GB"/>
              </w:rPr>
              <w:t>.</w:t>
            </w:r>
            <w:r>
              <w:rPr>
                <w:rFonts w:hint="eastAsia" w:eastAsia="宋体"/>
                <w:sz w:val="20"/>
                <w:lang w:val="en-US" w:eastAsia="zh-CN"/>
              </w:rPr>
              <w:t xml:space="preserve">  </w:t>
            </w:r>
          </w:p>
          <w:p>
            <w:pPr>
              <w:numPr>
                <w:ilvl w:val="1"/>
                <w:numId w:val="5"/>
              </w:numPr>
              <w:autoSpaceDE w:val="0"/>
              <w:autoSpaceDN w:val="0"/>
              <w:adjustRightInd w:val="0"/>
              <w:spacing w:after="0" w:line="360" w:lineRule="auto"/>
              <w:rPr>
                <w:rFonts w:hint="default"/>
                <w:vertAlign w:val="baseline"/>
                <w:lang w:val="en-US" w:eastAsia="zh-CN"/>
              </w:rPr>
            </w:pPr>
            <w:r>
              <w:rPr>
                <w:rFonts w:eastAsiaTheme="minorEastAsia"/>
                <w:sz w:val="20"/>
                <w:szCs w:val="20"/>
              </w:rPr>
              <w:t>2</w:t>
            </w:r>
            <w:r>
              <w:rPr>
                <w:rFonts w:eastAsiaTheme="minorEastAsia"/>
                <w:sz w:val="20"/>
                <w:szCs w:val="20"/>
                <w:vertAlign w:val="superscript"/>
              </w:rPr>
              <w:t>nd</w:t>
            </w:r>
            <w:r>
              <w:rPr>
                <w:rFonts w:eastAsiaTheme="minorEastAsia"/>
                <w:sz w:val="20"/>
                <w:szCs w:val="20"/>
              </w:rPr>
              <w:t xml:space="preserve"> phase will start from RAN4 #107 meeting.</w:t>
            </w:r>
            <w:r>
              <w:rPr>
                <w:rFonts w:hint="eastAsia" w:eastAsiaTheme="minorEastAsia"/>
                <w:sz w:val="20"/>
                <w:szCs w:val="20"/>
                <w:lang w:val="en-US" w:eastAsia="zh-CN"/>
              </w:rPr>
              <w:t xml:space="preserve"> </w:t>
            </w:r>
          </w:p>
          <w:p>
            <w:pPr>
              <w:autoSpaceDE w:val="0"/>
              <w:autoSpaceDN w:val="0"/>
              <w:adjustRightInd w:val="0"/>
              <w:spacing w:after="0" w:line="360" w:lineRule="auto"/>
              <w:rPr>
                <w:rFonts w:eastAsiaTheme="minorEastAsia"/>
                <w:sz w:val="20"/>
                <w:szCs w:val="20"/>
                <w:highlight w:val="green"/>
              </w:rPr>
            </w:pPr>
            <w:r>
              <w:rPr>
                <w:rFonts w:eastAsiaTheme="minorEastAsia"/>
                <w:sz w:val="20"/>
                <w:szCs w:val="20"/>
                <w:highlight w:val="green"/>
              </w:rPr>
              <w:t>Agreement:</w:t>
            </w:r>
          </w:p>
          <w:p>
            <w:pPr>
              <w:numPr>
                <w:ilvl w:val="0"/>
                <w:numId w:val="5"/>
              </w:numPr>
              <w:autoSpaceDE w:val="0"/>
              <w:autoSpaceDN w:val="0"/>
              <w:adjustRightInd w:val="0"/>
              <w:spacing w:after="0" w:line="360" w:lineRule="auto"/>
              <w:rPr>
                <w:rFonts w:eastAsia="宋体"/>
                <w:sz w:val="20"/>
                <w:lang w:val="en-GB"/>
              </w:rPr>
            </w:pPr>
            <w:r>
              <w:rPr>
                <w:rFonts w:eastAsia="宋体"/>
                <w:sz w:val="20"/>
                <w:lang w:val="en-GB"/>
              </w:rPr>
              <w:t>RAN4 to prioritize at least FR2 unknown Scell delay reduction in the 1</w:t>
            </w:r>
            <w:r>
              <w:rPr>
                <w:rFonts w:eastAsia="宋体"/>
                <w:sz w:val="20"/>
                <w:vertAlign w:val="superscript"/>
                <w:lang w:val="en-GB"/>
              </w:rPr>
              <w:t>st</w:t>
            </w:r>
            <w:r>
              <w:rPr>
                <w:rFonts w:eastAsia="宋体"/>
                <w:sz w:val="20"/>
                <w:lang w:val="en-GB"/>
              </w:rPr>
              <w:t xml:space="preserve"> phase of the WI.</w:t>
            </w:r>
          </w:p>
          <w:p>
            <w:pPr>
              <w:numPr>
                <w:ilvl w:val="1"/>
                <w:numId w:val="5"/>
              </w:numPr>
              <w:autoSpaceDE w:val="0"/>
              <w:autoSpaceDN w:val="0"/>
              <w:adjustRightInd w:val="0"/>
              <w:spacing w:after="0" w:line="360" w:lineRule="auto"/>
              <w:rPr>
                <w:rFonts w:hint="default"/>
                <w:vertAlign w:val="baseline"/>
                <w:lang w:val="en-US" w:eastAsia="zh-CN"/>
              </w:rPr>
            </w:pPr>
            <w:r>
              <w:rPr>
                <w:sz w:val="20"/>
                <w:szCs w:val="20"/>
              </w:rPr>
              <w:t>FR2 unknown Scell without intra-band serving cell is considered for 1</w:t>
            </w:r>
            <w:r>
              <w:rPr>
                <w:sz w:val="20"/>
                <w:szCs w:val="20"/>
                <w:vertAlign w:val="superscript"/>
              </w:rPr>
              <w:t>st</w:t>
            </w:r>
            <w:r>
              <w:rPr>
                <w:sz w:val="20"/>
                <w:szCs w:val="20"/>
              </w:rPr>
              <w:t xml:space="preserve"> phase.</w:t>
            </w:r>
          </w:p>
          <w:p>
            <w:pPr>
              <w:numPr>
                <w:ilvl w:val="1"/>
                <w:numId w:val="5"/>
              </w:numPr>
              <w:autoSpaceDE w:val="0"/>
              <w:autoSpaceDN w:val="0"/>
              <w:adjustRightInd w:val="0"/>
              <w:spacing w:after="0" w:line="360" w:lineRule="auto"/>
              <w:rPr>
                <w:rFonts w:hint="default"/>
                <w:vertAlign w:val="baseline"/>
                <w:lang w:val="en-US" w:eastAsia="zh-CN"/>
              </w:rPr>
            </w:pPr>
            <w:r>
              <w:rPr>
                <w:sz w:val="20"/>
                <w:szCs w:val="20"/>
              </w:rPr>
              <w:t>The extension of the enhancement solutions to FR1 can also be discussed.</w:t>
            </w:r>
            <w:r>
              <w:rPr>
                <w:rFonts w:hint="eastAsia"/>
                <w:sz w:val="20"/>
                <w:szCs w:val="20"/>
                <w:lang w:val="en-US" w:eastAsia="zh-CN"/>
              </w:rPr>
              <w:t xml:space="preserve"> </w:t>
            </w:r>
          </w:p>
        </w:tc>
      </w:tr>
    </w:tbl>
    <w:p>
      <w:pPr>
        <w:widowControl w:val="0"/>
        <w:numPr>
          <w:ilvl w:val="0"/>
          <w:numId w:val="0"/>
        </w:numPr>
        <w:jc w:val="both"/>
        <w:rPr>
          <w:rFonts w:hint="default" w:eastAsia="宋体"/>
          <w:color w:val="auto"/>
          <w:sz w:val="20"/>
          <w:szCs w:val="20"/>
          <w:lang w:val="en-US" w:eastAsia="zh-CN"/>
        </w:rPr>
      </w:pPr>
    </w:p>
    <w:p>
      <w:pPr>
        <w:widowControl w:val="0"/>
        <w:numPr>
          <w:ilvl w:val="0"/>
          <w:numId w:val="0"/>
        </w:numPr>
        <w:jc w:val="both"/>
        <w:rPr>
          <w:rFonts w:hint="default" w:eastAsia="宋体"/>
          <w:kern w:val="2"/>
          <w:sz w:val="20"/>
          <w:szCs w:val="20"/>
          <w:lang w:val="en-US" w:eastAsia="zh-CN"/>
        </w:rPr>
      </w:pPr>
      <w:r>
        <w:rPr>
          <w:rFonts w:hint="eastAsia" w:eastAsia="宋体"/>
          <w:color w:val="auto"/>
          <w:sz w:val="20"/>
          <w:szCs w:val="20"/>
          <w:lang w:val="en-US" w:eastAsia="zh-CN"/>
        </w:rPr>
        <w:t>In this document, we provide some analysis focused on unknown FR2 SCell activation delay reduction.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Based on the components included in the FR2 unknown SCell activation procedure, the candidates reduction comes from the following three items:</w:t>
      </w:r>
    </w:p>
    <w:p>
      <w:pPr>
        <w:pStyle w:val="4"/>
        <w:numPr>
          <w:ilvl w:val="0"/>
          <w:numId w:val="6"/>
        </w:numPr>
        <w:ind w:left="420" w:leftChars="0" w:hanging="420" w:firstLineChars="0"/>
        <w:rPr>
          <w:rFonts w:hint="default" w:eastAsia="宋体"/>
          <w:color w:val="auto"/>
          <w:sz w:val="20"/>
          <w:szCs w:val="20"/>
          <w:highlight w:val="none"/>
          <w:lang w:val="en-US" w:eastAsia="zh-CN"/>
        </w:rPr>
      </w:pPr>
      <w:r>
        <w:rPr>
          <w:rFonts w:hint="default" w:eastAsia="宋体"/>
          <w:color w:val="auto"/>
          <w:sz w:val="20"/>
          <w:szCs w:val="20"/>
          <w:highlight w:val="none"/>
          <w:lang w:val="en-US" w:eastAsia="zh-CN"/>
        </w:rPr>
        <w:t>L3 part enhancements</w:t>
      </w:r>
    </w:p>
    <w:p>
      <w:pPr>
        <w:pStyle w:val="4"/>
        <w:numPr>
          <w:ilvl w:val="0"/>
          <w:numId w:val="6"/>
        </w:numPr>
        <w:ind w:left="420" w:leftChars="0" w:hanging="420" w:firstLineChars="0"/>
        <w:rPr>
          <w:rFonts w:hint="default" w:eastAsia="宋体"/>
          <w:color w:val="auto"/>
          <w:sz w:val="20"/>
          <w:szCs w:val="20"/>
          <w:highlight w:val="none"/>
          <w:lang w:val="en-US" w:eastAsia="zh-CN"/>
        </w:rPr>
      </w:pPr>
      <w:r>
        <w:rPr>
          <w:rFonts w:hint="default" w:eastAsia="宋体"/>
          <w:color w:val="auto"/>
          <w:sz w:val="20"/>
          <w:szCs w:val="20"/>
          <w:highlight w:val="none"/>
          <w:lang w:val="en-US" w:eastAsia="zh-CN"/>
        </w:rPr>
        <w:t>L1 part enhancements</w:t>
      </w:r>
    </w:p>
    <w:p>
      <w:pPr>
        <w:pStyle w:val="4"/>
        <w:numPr>
          <w:ilvl w:val="0"/>
          <w:numId w:val="6"/>
        </w:numPr>
        <w:ind w:left="420" w:leftChars="0" w:hanging="420" w:firstLineChars="0"/>
        <w:rPr>
          <w:rFonts w:hint="default" w:eastAsia="宋体"/>
          <w:color w:val="auto"/>
          <w:sz w:val="20"/>
          <w:szCs w:val="20"/>
          <w:highlight w:val="none"/>
          <w:lang w:val="en-US" w:eastAsia="zh-CN"/>
        </w:rPr>
      </w:pPr>
      <w:r>
        <w:rPr>
          <w:rFonts w:hint="default" w:eastAsia="宋体"/>
          <w:color w:val="auto"/>
          <w:sz w:val="20"/>
          <w:szCs w:val="20"/>
          <w:highlight w:val="none"/>
          <w:lang w:val="en-US" w:eastAsia="zh-CN"/>
        </w:rPr>
        <w:t>Other potential enhancements</w:t>
      </w:r>
    </w:p>
    <w:p>
      <w:pPr>
        <w:pStyle w:val="4"/>
        <w:numPr>
          <w:ilvl w:val="0"/>
          <w:numId w:val="0"/>
        </w:numPr>
        <w:ind w:left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We give our analysis for L1 part enhancements.</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Based on Rel-16 specification, L1 part includes L1-RSRP measurement and L1-RSRP report. The aim of L1 part is to help NW for TCI determination as well as the UE fine Rx beam training. In a word, L3 part is the precondition of L1 part, and L1 part is the precondition of TCI state indication later.</w:t>
      </w:r>
    </w:p>
    <w:p>
      <w:pPr>
        <w:pStyle w:val="4"/>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From the perspective of L1 part enhancements, how to reduce the L1-RSRP measurement or whether the L1-RSRP measurement can be ignored, which should be considered.</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For current L1-RSRP measurement, SSB based or CSI-RS based are both candidates. For SSB based L1-RSRP measurement, if the SSBs have been measured during L3 part, UE may skip the L1-RSRP measurement and directly report the SSB-RSRP to NW based on L3 AGC and cell search. Not additional L1-RSRP measurement based on same SSBs is necessary. For CSI-RS based L1-RSRP measurement, if the CSI-RS resources are QCLed type D with the SSBs measurement in L3 part, UE can also directly report the SSB RSRP to NW based on L3 AGC and cell search, not additional L1-RSRP measurement based on the CSI-RS resources is necessary. So we believe once the above condition satisfied, L1-RSRP measurement can be ignored and directly report the SSB-RSRP obtained from L3 part by UE to NW is fine.</w:t>
      </w:r>
    </w:p>
    <w:p>
      <w:pPr>
        <w:pStyle w:val="4"/>
        <w:rPr>
          <w:rFonts w:hint="eastAsia"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 xml:space="preserve">Proposal 1: Once the conditions that same SSBs used for both L1-RSRP measurement and L3 part or the CSI-RS resources used for L1-RSRP is QCLed type D with the SSBs used for L3 part can be satisfied, the L1-RSRP measurement can be ignored and directly reporting the SSB-RSRP obtained from L3 part is fine. </w:t>
      </w:r>
      <w:r>
        <w:rPr>
          <w:rFonts w:hint="eastAsia" w:eastAsia="宋体"/>
          <w:color w:val="auto"/>
          <w:sz w:val="20"/>
          <w:szCs w:val="20"/>
          <w:highlight w:val="none"/>
          <w:lang w:val="en-US" w:eastAsia="zh-CN"/>
        </w:rPr>
        <w:t xml:space="preserve"> </w:t>
      </w:r>
    </w:p>
    <w:p>
      <w:pPr>
        <w:pStyle w:val="4"/>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If the above condition can not be satisfied, we believe L1-RSRP measurement can not be ignored. However, considering that the RS configuration for L3 part and for L1 part is independent, so it is possible that the number of SSB bursts used for L3 part is less than the SSB bursts used for L1-RSRP measurement or some partial CSI-RS resources used for L1-RSRP measurement is not QCLed type D with the SSBs used for L3 part. In such case, to identify the best Tx beam, NW configures more SSB bursts or CSI-RS resources for L1-RSRP measurement. In such case, UE still needs to perform L1-RSRP measurement based on the SSB or CSI-RS resource that not configured in L3 part, and then report the suitable SSB-RSRP or CSI-RS RSRP to NW. So that NW can choose the best Tx beam based on all RS resources configured for L1-RSRP measurement. UE does not need to repeat the measurement based on the SSBs which has been detected during L3 part.</w:t>
      </w:r>
    </w:p>
    <w:p>
      <w:pPr>
        <w:pStyle w:val="4"/>
        <w:jc w:val="center"/>
      </w:pPr>
      <w:r>
        <w:drawing>
          <wp:inline distT="0" distB="0" distL="114300" distR="114300">
            <wp:extent cx="1935480" cy="20421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1935480" cy="2042160"/>
                    </a:xfrm>
                    <a:prstGeom prst="rect">
                      <a:avLst/>
                    </a:prstGeom>
                    <a:noFill/>
                    <a:ln>
                      <a:noFill/>
                    </a:ln>
                  </pic:spPr>
                </pic:pic>
              </a:graphicData>
            </a:graphic>
          </wp:inline>
        </w:drawing>
      </w:r>
    </w:p>
    <w:p>
      <w:pPr>
        <w:pStyle w:val="4"/>
        <w:jc w:val="center"/>
        <w:rPr>
          <w:rFonts w:hint="eastAsia"/>
          <w:lang w:val="en-US" w:eastAsia="zh-CN"/>
        </w:rPr>
      </w:pPr>
      <w:r>
        <w:rPr>
          <w:rFonts w:hint="eastAsia"/>
          <w:lang w:val="en-US" w:eastAsia="zh-CN"/>
        </w:rPr>
        <w:t>Fig. 1 An example of different RS resources configured for L3 and L1 measurement</w:t>
      </w:r>
    </w:p>
    <w:p>
      <w:pPr>
        <w:pStyle w:val="4"/>
        <w:jc w:val="both"/>
        <w:rPr>
          <w:rFonts w:hint="eastAsia"/>
          <w:lang w:val="en-US" w:eastAsia="zh-CN"/>
        </w:rPr>
      </w:pPr>
      <w:r>
        <w:rPr>
          <w:rFonts w:hint="eastAsia"/>
          <w:lang w:val="en-US" w:eastAsia="zh-CN"/>
        </w:rPr>
        <w:t>As shown in Fig.1, UE only needs to perform L1-RSRP measurement based on the RS resource of beam#2 which is not included in the L3 RS resources. And then UE reports the best RSRP between {beam#0, beam#1, beam#2}.</w:t>
      </w:r>
    </w:p>
    <w:p>
      <w:pPr>
        <w:pStyle w:val="4"/>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Considering the RS resource configuration for L3 part and L1 measurement is independent, so more RS resources configured for L1 measurement than L3 part is possible. In such case, UE still needs to perform L1-RSRP measurement based on the RS resources not detected during L3 part and reports the suitable RSRP to NW.</w:t>
      </w:r>
    </w:p>
    <w:p>
      <w:pPr>
        <w:pStyle w:val="4"/>
        <w:jc w:val="both"/>
        <w:rPr>
          <w:rFonts w:hint="eastAsia"/>
          <w:lang w:val="en-US" w:eastAsia="zh-CN"/>
        </w:rPr>
      </w:pPr>
      <w:r>
        <w:rPr>
          <w:rFonts w:hint="eastAsia"/>
          <w:lang w:val="en-US" w:eastAsia="zh-CN"/>
        </w:rPr>
        <w:t>On the other hand, the reduction of Rx beam sweeping number is another solution to reduce the L1-RSRP measurement latency. Similar analysis as in above L3 part, the corresponding performance loss should be verified to be acceptable.</w:t>
      </w:r>
    </w:p>
    <w:p>
      <w:pPr>
        <w:pStyle w:val="4"/>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Reduction of Rx beam sweeping number in L1-RSRP measurement is another solution to reduce the L1-RSRP measurement latency, but the corresponding performance loss should be verified to be acceptable.</w:t>
      </w:r>
    </w:p>
    <w:p>
      <w:pPr>
        <w:pStyle w:val="4"/>
        <w:rPr>
          <w:rFonts w:hint="eastAsia"/>
          <w:lang w:val="en-US" w:eastAsia="zh-CN"/>
        </w:rPr>
      </w:pPr>
      <w:r>
        <w:rPr>
          <w:rFonts w:hint="eastAsia"/>
          <w:lang w:val="en-US" w:eastAsia="zh-CN"/>
        </w:rPr>
        <w:t>During last meeting, some solution of prioritization enhancement for L1-RSRP measurement was referred to. Two solution were proposed:</w:t>
      </w:r>
    </w:p>
    <w:p>
      <w:pPr>
        <w:pStyle w:val="4"/>
        <w:numPr>
          <w:ilvl w:val="0"/>
          <w:numId w:val="7"/>
        </w:numPr>
        <w:ind w:left="420" w:leftChars="0" w:hanging="420" w:firstLineChars="0"/>
        <w:rPr>
          <w:rFonts w:hint="default"/>
          <w:lang w:val="en-US" w:eastAsia="zh-CN"/>
        </w:rPr>
      </w:pPr>
      <w:r>
        <w:rPr>
          <w:rFonts w:hint="eastAsia"/>
          <w:lang w:val="en-US" w:eastAsia="zh-CN"/>
        </w:rPr>
        <w:t>Solution 1: Whether L1-RSRP measurement during SCell activation shall have higher priority over L3 measurement.</w:t>
      </w:r>
    </w:p>
    <w:p>
      <w:pPr>
        <w:pStyle w:val="4"/>
        <w:numPr>
          <w:ilvl w:val="0"/>
          <w:numId w:val="7"/>
        </w:numPr>
        <w:ind w:left="420" w:leftChars="0" w:hanging="420" w:firstLineChars="0"/>
        <w:rPr>
          <w:rFonts w:hint="default"/>
          <w:lang w:val="en-US" w:eastAsia="zh-CN"/>
        </w:rPr>
      </w:pPr>
      <w:r>
        <w:rPr>
          <w:rFonts w:hint="eastAsia"/>
          <w:lang w:val="en-US" w:eastAsia="zh-CN"/>
        </w:rPr>
        <w:t>Solution 2: Whether L1-RSRP measurement should be performed in non-DRX mode even DRX is configured.</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In our opinion, Solution 2 is more attractive than Solution 1 since Solution 1 would impact legacy L3 measurement. Additional scaling factor due to L1-RSRP measurement during FR2 SCell activation would be introduced to the impacted L3 measurement on intra-frequency or inter-frequency.</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While Solution 2 would not lead to impact to other procedure except for UE behaviour during DRX cycle. Solution 2 requires the UE to receive SSB or CSI-RS used for L1-RSRP measurement during SCell activation compared with normal situation. Considering SCell activation is not always happened, so the effect of power saving due to DRX cycle would not be weaken distinctly. Meanwhile the latency of FR2 unknown SCell activation would be reduced obviously. So we prefer Solution 2, i.e. L1-RSRP measurement can be performed in non-DRX mode even DRX is configured.</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L1-RSRP measurement can be performed in non-DRX mode even DRX is configured.</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 xml:space="preserve">unknown </w:t>
      </w:r>
      <w:r>
        <w:rPr>
          <w:rFonts w:hint="eastAsia" w:eastAsia="宋体"/>
          <w:color w:val="auto"/>
          <w:sz w:val="20"/>
          <w:szCs w:val="20"/>
          <w:lang w:val="en-US" w:eastAsia="zh-CN"/>
        </w:rPr>
        <w:t>FR2 SCell activation delay reduction</w:t>
      </w:r>
      <w:r>
        <w:rPr>
          <w:rFonts w:eastAsia="宋体"/>
          <w:bCs/>
          <w:color w:val="auto"/>
          <w:sz w:val="20"/>
          <w:szCs w:val="20"/>
          <w:lang w:val="en-GB" w:eastAsia="zh-CN"/>
        </w:rPr>
        <w:t>:</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Once the conditions that same SSBs used for both L1-RSRP measurement and L3 part or the CSI-RS resources used for L1-RSRP is QCLed type D with the SSBs used for L3 part can be satisfied, the L1-RSRP measurement can be ignored and directly reporting the SSB-RSRP obtained from L3 part is fine. </w:t>
      </w:r>
      <w:r>
        <w:rPr>
          <w:rFonts w:hint="eastAsia" w:eastAsia="宋体"/>
          <w:color w:val="auto"/>
          <w:sz w:val="20"/>
          <w:szCs w:val="20"/>
          <w:highlight w:val="none"/>
          <w:lang w:val="en-US" w:eastAsia="zh-CN"/>
        </w:rPr>
        <w:t xml:space="preserve"> </w:t>
      </w:r>
    </w:p>
    <w:p>
      <w:pPr>
        <w:pStyle w:val="4"/>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Considering the RS resource configuration for L3 part and L1 measurement is independent, so more RS resources configured for L1 measurement than L3 part is possible. In such case, UE still needs to perform L1-RSRP measurement based on the RS resources not detected during L3 part and reports the suitable RSRP to NW.</w:t>
      </w:r>
    </w:p>
    <w:p>
      <w:pPr>
        <w:pStyle w:val="4"/>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Reduction of Rx beam sweeping number in L1-RSRP measurement is another solution to reduce the L1-RSRP measurement latency, but the corresponding performance loss should be verified to be acceptable.</w:t>
      </w:r>
    </w:p>
    <w:p>
      <w:pPr>
        <w:pStyle w:val="4"/>
        <w:tabs>
          <w:tab w:val="left" w:pos="226"/>
          <w:tab w:val="left" w:pos="284"/>
          <w:tab w:val="left" w:pos="5103"/>
        </w:tabs>
        <w:snapToGrid w:val="0"/>
        <w:rPr>
          <w:rFonts w:eastAsia="宋体"/>
          <w:bCs/>
          <w:color w:val="auto"/>
          <w:sz w:val="20"/>
          <w:szCs w:val="20"/>
          <w:lang w:val="en-GB" w:eastAsia="zh-CN"/>
        </w:rPr>
      </w:pPr>
      <w:r>
        <w:rPr>
          <w:rFonts w:hint="eastAsia" w:eastAsia="宋体" w:cs="Times New Roman"/>
          <w:b/>
          <w:bCs/>
          <w:color w:val="auto"/>
          <w:sz w:val="20"/>
          <w:szCs w:val="20"/>
          <w:highlight w:val="none"/>
          <w:lang w:val="en-US" w:eastAsia="zh-CN" w:bidi="ar-SA"/>
        </w:rPr>
        <w:t>Proposal 4: L1-RSRP measurement can be performed in non-DRX mode even DRX is configured.</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8"/>
        </w:numPr>
        <w:ind w:leftChars="0"/>
        <w:rPr>
          <w:rFonts w:hint="default" w:eastAsia="宋体"/>
          <w:color w:val="auto"/>
          <w:lang w:val="en-US" w:eastAsia="zh-CN"/>
        </w:rPr>
      </w:pPr>
      <w:r>
        <w:rPr>
          <w:rFonts w:hint="eastAsia"/>
          <w:lang w:val="en-US" w:eastAsia="zh-CN"/>
        </w:rPr>
        <w:t>RP-22</w:t>
      </w:r>
      <w:r>
        <w:rPr>
          <w:rFonts w:hint="eastAsia"/>
          <w:highlight w:val="none"/>
          <w:lang w:val="en-US" w:eastAsia="zh-CN"/>
        </w:rPr>
        <w:t>1696</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Even Further RRM enhancement for NR and MR-DC</w:t>
      </w:r>
      <w:r>
        <w:rPr>
          <w:rFonts w:hint="default"/>
          <w:color w:val="auto"/>
          <w:highlight w:val="none"/>
          <w:lang w:val="en-US" w:eastAsia="zh-CN"/>
        </w:rPr>
        <w:t>”</w:t>
      </w:r>
      <w:r>
        <w:rPr>
          <w:rFonts w:hint="eastAsia"/>
          <w:color w:val="auto"/>
          <w:highlight w:val="none"/>
          <w:lang w:val="en-US" w:eastAsia="zh-CN"/>
        </w:rPr>
        <w:t xml:space="preserve">, Apple, OPPO </w:t>
      </w: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90EBB511"/>
    <w:multiLevelType w:val="singleLevel"/>
    <w:tmpl w:val="90EBB511"/>
    <w:lvl w:ilvl="0" w:tentative="0">
      <w:start w:val="1"/>
      <w:numFmt w:val="bullet"/>
      <w:lvlText w:val=""/>
      <w:lvlJc w:val="left"/>
      <w:pPr>
        <w:ind w:left="4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A362252"/>
    <w:multiLevelType w:val="singleLevel"/>
    <w:tmpl w:val="3A362252"/>
    <w:lvl w:ilvl="0" w:tentative="0">
      <w:start w:val="1"/>
      <w:numFmt w:val="bullet"/>
      <w:lvlText w:val=""/>
      <w:lvlJc w:val="left"/>
      <w:pPr>
        <w:ind w:left="420" w:hanging="420"/>
      </w:pPr>
      <w:rPr>
        <w:rFonts w:hint="default" w:ascii="Wingdings" w:hAnsi="Wingdings"/>
      </w:rPr>
    </w:lvl>
  </w:abstractNum>
  <w:abstractNum w:abstractNumId="4">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53C3252"/>
    <w:multiLevelType w:val="multilevel"/>
    <w:tmpl w:val="553C3252"/>
    <w:lvl w:ilvl="0" w:tentative="0">
      <w:start w:val="1"/>
      <w:numFmt w:val="bullet"/>
      <w:lvlText w:val=""/>
      <w:lvlJc w:val="left"/>
      <w:pPr>
        <w:tabs>
          <w:tab w:val="left" w:pos="-840"/>
        </w:tabs>
        <w:ind w:left="-120" w:hanging="360"/>
      </w:pPr>
      <w:rPr>
        <w:rFonts w:hint="default" w:ascii="Symbol" w:hAnsi="Symbol"/>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6">
    <w:nsid w:val="58B73482"/>
    <w:multiLevelType w:val="multilevel"/>
    <w:tmpl w:val="58B73482"/>
    <w:lvl w:ilvl="0" w:tentative="0">
      <w:start w:val="1"/>
      <w:numFmt w:val="bullet"/>
      <w:lvlText w:val=""/>
      <w:lvlJc w:val="left"/>
      <w:pPr>
        <w:tabs>
          <w:tab w:val="left" w:pos="-840"/>
        </w:tabs>
        <w:ind w:left="96" w:hanging="360"/>
      </w:pPr>
      <w:rPr>
        <w:rFonts w:hint="default" w:ascii="Symbol" w:hAnsi="Symbol"/>
      </w:rPr>
    </w:lvl>
    <w:lvl w:ilvl="1" w:tentative="0">
      <w:start w:val="1"/>
      <w:numFmt w:val="bullet"/>
      <w:lvlText w:val="o"/>
      <w:lvlJc w:val="left"/>
      <w:pPr>
        <w:tabs>
          <w:tab w:val="left" w:pos="-840"/>
        </w:tabs>
        <w:ind w:left="816" w:hanging="360"/>
      </w:pPr>
      <w:rPr>
        <w:rFonts w:hint="default" w:ascii="Courier New" w:hAnsi="Courier New" w:cs="Courier New"/>
      </w:rPr>
    </w:lvl>
    <w:lvl w:ilvl="2" w:tentative="0">
      <w:start w:val="1"/>
      <w:numFmt w:val="bullet"/>
      <w:lvlText w:val=""/>
      <w:lvlJc w:val="left"/>
      <w:pPr>
        <w:tabs>
          <w:tab w:val="left" w:pos="-840"/>
        </w:tabs>
        <w:ind w:left="1536" w:hanging="360"/>
      </w:pPr>
      <w:rPr>
        <w:rFonts w:hint="default" w:ascii="Wingdings" w:hAnsi="Wingdings"/>
      </w:rPr>
    </w:lvl>
    <w:lvl w:ilvl="3" w:tentative="0">
      <w:start w:val="1"/>
      <w:numFmt w:val="bullet"/>
      <w:lvlText w:val=""/>
      <w:lvlJc w:val="left"/>
      <w:pPr>
        <w:tabs>
          <w:tab w:val="left" w:pos="-840"/>
        </w:tabs>
        <w:ind w:left="2256" w:hanging="360"/>
      </w:pPr>
      <w:rPr>
        <w:rFonts w:hint="default" w:ascii="Symbol" w:hAnsi="Symbol"/>
      </w:rPr>
    </w:lvl>
    <w:lvl w:ilvl="4" w:tentative="0">
      <w:start w:val="1"/>
      <w:numFmt w:val="bullet"/>
      <w:lvlText w:val="o"/>
      <w:lvlJc w:val="left"/>
      <w:pPr>
        <w:tabs>
          <w:tab w:val="left" w:pos="-840"/>
        </w:tabs>
        <w:ind w:left="2976" w:hanging="360"/>
      </w:pPr>
      <w:rPr>
        <w:rFonts w:hint="default" w:ascii="Courier New" w:hAnsi="Courier New" w:cs="Courier New"/>
      </w:rPr>
    </w:lvl>
    <w:lvl w:ilvl="5" w:tentative="0">
      <w:start w:val="1"/>
      <w:numFmt w:val="bullet"/>
      <w:lvlText w:val=""/>
      <w:lvlJc w:val="left"/>
      <w:pPr>
        <w:tabs>
          <w:tab w:val="left" w:pos="-840"/>
        </w:tabs>
        <w:ind w:left="3696" w:hanging="360"/>
      </w:pPr>
      <w:rPr>
        <w:rFonts w:hint="default" w:ascii="Wingdings" w:hAnsi="Wingdings"/>
      </w:rPr>
    </w:lvl>
    <w:lvl w:ilvl="6" w:tentative="0">
      <w:start w:val="1"/>
      <w:numFmt w:val="bullet"/>
      <w:lvlText w:val=""/>
      <w:lvlJc w:val="left"/>
      <w:pPr>
        <w:tabs>
          <w:tab w:val="left" w:pos="-840"/>
        </w:tabs>
        <w:ind w:left="4416" w:hanging="360"/>
      </w:pPr>
      <w:rPr>
        <w:rFonts w:hint="default" w:ascii="Symbol" w:hAnsi="Symbol"/>
      </w:rPr>
    </w:lvl>
    <w:lvl w:ilvl="7" w:tentative="0">
      <w:start w:val="1"/>
      <w:numFmt w:val="bullet"/>
      <w:lvlText w:val="o"/>
      <w:lvlJc w:val="left"/>
      <w:pPr>
        <w:tabs>
          <w:tab w:val="left" w:pos="-840"/>
        </w:tabs>
        <w:ind w:left="5136" w:hanging="360"/>
      </w:pPr>
      <w:rPr>
        <w:rFonts w:hint="default" w:ascii="Courier New" w:hAnsi="Courier New" w:cs="Courier New"/>
      </w:rPr>
    </w:lvl>
    <w:lvl w:ilvl="8" w:tentative="0">
      <w:start w:val="1"/>
      <w:numFmt w:val="bullet"/>
      <w:lvlText w:val=""/>
      <w:lvlJc w:val="left"/>
      <w:pPr>
        <w:tabs>
          <w:tab w:val="left" w:pos="-840"/>
        </w:tabs>
        <w:ind w:left="5856" w:hanging="360"/>
      </w:pPr>
      <w:rPr>
        <w:rFonts w:hint="default" w:ascii="Wingdings" w:hAnsi="Wingdings"/>
      </w:rPr>
    </w:lvl>
  </w:abstractNum>
  <w:abstractNum w:abstractNumId="7">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7"/>
  </w:num>
  <w:num w:numId="2">
    <w:abstractNumId w:val="4"/>
  </w:num>
  <w:num w:numId="3">
    <w:abstractNumId w:val="2"/>
  </w:num>
  <w:num w:numId="4">
    <w:abstractNumId w:val="5"/>
  </w:num>
  <w:num w:numId="5">
    <w:abstractNumId w:val="6"/>
  </w:num>
  <w:num w:numId="6">
    <w:abstractNumId w:val="1"/>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7E115D"/>
    <w:rsid w:val="03D4720A"/>
    <w:rsid w:val="04654053"/>
    <w:rsid w:val="04793516"/>
    <w:rsid w:val="047A3CFF"/>
    <w:rsid w:val="05317828"/>
    <w:rsid w:val="05477E90"/>
    <w:rsid w:val="05BB5AB9"/>
    <w:rsid w:val="05C42923"/>
    <w:rsid w:val="06963BA6"/>
    <w:rsid w:val="07CD3CDD"/>
    <w:rsid w:val="0855671D"/>
    <w:rsid w:val="089009EB"/>
    <w:rsid w:val="09716BCA"/>
    <w:rsid w:val="09D64B23"/>
    <w:rsid w:val="09E644B8"/>
    <w:rsid w:val="0B12013A"/>
    <w:rsid w:val="0B3D3C2F"/>
    <w:rsid w:val="0BB0429A"/>
    <w:rsid w:val="0BFF5FC6"/>
    <w:rsid w:val="0C394019"/>
    <w:rsid w:val="0D2A60F1"/>
    <w:rsid w:val="10997F43"/>
    <w:rsid w:val="10DE7BAE"/>
    <w:rsid w:val="120774A3"/>
    <w:rsid w:val="14006D19"/>
    <w:rsid w:val="14337DBF"/>
    <w:rsid w:val="1481754F"/>
    <w:rsid w:val="148F5721"/>
    <w:rsid w:val="14AC57CD"/>
    <w:rsid w:val="15ED3E9B"/>
    <w:rsid w:val="164514BE"/>
    <w:rsid w:val="170F06AA"/>
    <w:rsid w:val="17225508"/>
    <w:rsid w:val="180A6E32"/>
    <w:rsid w:val="183F2CD2"/>
    <w:rsid w:val="1856323E"/>
    <w:rsid w:val="18AF55E3"/>
    <w:rsid w:val="18B1519A"/>
    <w:rsid w:val="18CD0507"/>
    <w:rsid w:val="195D7D48"/>
    <w:rsid w:val="1AD01A1B"/>
    <w:rsid w:val="1B61065A"/>
    <w:rsid w:val="1BBF3927"/>
    <w:rsid w:val="1C177B08"/>
    <w:rsid w:val="1C9001C6"/>
    <w:rsid w:val="1CBA2101"/>
    <w:rsid w:val="1D0573D7"/>
    <w:rsid w:val="1D153DC4"/>
    <w:rsid w:val="1D223E0B"/>
    <w:rsid w:val="1E132F88"/>
    <w:rsid w:val="1E2867E9"/>
    <w:rsid w:val="1E853F6F"/>
    <w:rsid w:val="1E9C7BCC"/>
    <w:rsid w:val="1ECC1E3C"/>
    <w:rsid w:val="20933D8F"/>
    <w:rsid w:val="21014C39"/>
    <w:rsid w:val="21244EB1"/>
    <w:rsid w:val="213964D8"/>
    <w:rsid w:val="21595D04"/>
    <w:rsid w:val="21F13629"/>
    <w:rsid w:val="2305377E"/>
    <w:rsid w:val="24122135"/>
    <w:rsid w:val="24D4257E"/>
    <w:rsid w:val="25490B44"/>
    <w:rsid w:val="2572202B"/>
    <w:rsid w:val="2605683C"/>
    <w:rsid w:val="269452A9"/>
    <w:rsid w:val="26BB1419"/>
    <w:rsid w:val="27B748AA"/>
    <w:rsid w:val="27CB4CB9"/>
    <w:rsid w:val="281C2F58"/>
    <w:rsid w:val="29642C4B"/>
    <w:rsid w:val="296569C3"/>
    <w:rsid w:val="2A34628C"/>
    <w:rsid w:val="2A724D05"/>
    <w:rsid w:val="2A7E505C"/>
    <w:rsid w:val="2AC85686"/>
    <w:rsid w:val="2AD04B5F"/>
    <w:rsid w:val="2AF821D7"/>
    <w:rsid w:val="2B2B515F"/>
    <w:rsid w:val="2BC05B2C"/>
    <w:rsid w:val="2BD617C5"/>
    <w:rsid w:val="2C112837"/>
    <w:rsid w:val="2CAE0227"/>
    <w:rsid w:val="2E014790"/>
    <w:rsid w:val="2E082A14"/>
    <w:rsid w:val="2EE77680"/>
    <w:rsid w:val="2F2F0FC8"/>
    <w:rsid w:val="301C6BB6"/>
    <w:rsid w:val="30571E20"/>
    <w:rsid w:val="319708F2"/>
    <w:rsid w:val="31B14C9E"/>
    <w:rsid w:val="33C522D7"/>
    <w:rsid w:val="34807672"/>
    <w:rsid w:val="34921EC4"/>
    <w:rsid w:val="34A82967"/>
    <w:rsid w:val="35B06C6A"/>
    <w:rsid w:val="36941AA2"/>
    <w:rsid w:val="36D37423"/>
    <w:rsid w:val="379D23F9"/>
    <w:rsid w:val="3A185287"/>
    <w:rsid w:val="3A1F46B8"/>
    <w:rsid w:val="3A692CD0"/>
    <w:rsid w:val="3B270929"/>
    <w:rsid w:val="3B3D5571"/>
    <w:rsid w:val="3B673620"/>
    <w:rsid w:val="3B9A1F29"/>
    <w:rsid w:val="3CE4646B"/>
    <w:rsid w:val="3D5E7AA8"/>
    <w:rsid w:val="3D6F2596"/>
    <w:rsid w:val="3F836EE6"/>
    <w:rsid w:val="405F175E"/>
    <w:rsid w:val="40845BF3"/>
    <w:rsid w:val="40C765F3"/>
    <w:rsid w:val="41A2534B"/>
    <w:rsid w:val="42F869D2"/>
    <w:rsid w:val="43285B25"/>
    <w:rsid w:val="43553536"/>
    <w:rsid w:val="443A3304"/>
    <w:rsid w:val="44972678"/>
    <w:rsid w:val="44E85A06"/>
    <w:rsid w:val="451632B9"/>
    <w:rsid w:val="457B4C4B"/>
    <w:rsid w:val="45906394"/>
    <w:rsid w:val="45F60A50"/>
    <w:rsid w:val="46142D0C"/>
    <w:rsid w:val="46970A81"/>
    <w:rsid w:val="4697115A"/>
    <w:rsid w:val="46B036BF"/>
    <w:rsid w:val="47282363"/>
    <w:rsid w:val="49DC4EAC"/>
    <w:rsid w:val="49E55BC5"/>
    <w:rsid w:val="4BF24EEB"/>
    <w:rsid w:val="4C1C63D6"/>
    <w:rsid w:val="4C864A35"/>
    <w:rsid w:val="4CD61886"/>
    <w:rsid w:val="4E015C76"/>
    <w:rsid w:val="4E310026"/>
    <w:rsid w:val="4E4A2325"/>
    <w:rsid w:val="4F5C5331"/>
    <w:rsid w:val="501A6C55"/>
    <w:rsid w:val="505E1A7C"/>
    <w:rsid w:val="51B14BED"/>
    <w:rsid w:val="52526454"/>
    <w:rsid w:val="525C1CEF"/>
    <w:rsid w:val="528B5767"/>
    <w:rsid w:val="52D33625"/>
    <w:rsid w:val="53A3105E"/>
    <w:rsid w:val="53C64B93"/>
    <w:rsid w:val="54283FDA"/>
    <w:rsid w:val="548A6C60"/>
    <w:rsid w:val="55B1164D"/>
    <w:rsid w:val="55B4735E"/>
    <w:rsid w:val="55BB221D"/>
    <w:rsid w:val="55F52EA4"/>
    <w:rsid w:val="56371459"/>
    <w:rsid w:val="56484633"/>
    <w:rsid w:val="58D0053D"/>
    <w:rsid w:val="598C40A0"/>
    <w:rsid w:val="59DA647E"/>
    <w:rsid w:val="5A556E1A"/>
    <w:rsid w:val="5C876D53"/>
    <w:rsid w:val="5E2864D0"/>
    <w:rsid w:val="5E494511"/>
    <w:rsid w:val="5EB44FC0"/>
    <w:rsid w:val="5FBA395F"/>
    <w:rsid w:val="60EC2CBA"/>
    <w:rsid w:val="61CC2D28"/>
    <w:rsid w:val="635902CD"/>
    <w:rsid w:val="635E6E54"/>
    <w:rsid w:val="64706BBE"/>
    <w:rsid w:val="64F2095B"/>
    <w:rsid w:val="67A858DB"/>
    <w:rsid w:val="67FE4166"/>
    <w:rsid w:val="68C401C3"/>
    <w:rsid w:val="69A833BD"/>
    <w:rsid w:val="6AB215EC"/>
    <w:rsid w:val="6C125A96"/>
    <w:rsid w:val="6D566F0F"/>
    <w:rsid w:val="6D836F72"/>
    <w:rsid w:val="6D944C6F"/>
    <w:rsid w:val="6DDE3DAF"/>
    <w:rsid w:val="6E3241BE"/>
    <w:rsid w:val="6EB97A9D"/>
    <w:rsid w:val="6EF10A90"/>
    <w:rsid w:val="6EF77781"/>
    <w:rsid w:val="6F7F3578"/>
    <w:rsid w:val="6FFF1868"/>
    <w:rsid w:val="715F4C2D"/>
    <w:rsid w:val="722F78FB"/>
    <w:rsid w:val="723D67C5"/>
    <w:rsid w:val="72BF60CA"/>
    <w:rsid w:val="72F41282"/>
    <w:rsid w:val="733D0D32"/>
    <w:rsid w:val="73D411F1"/>
    <w:rsid w:val="753811DE"/>
    <w:rsid w:val="75BE67D4"/>
    <w:rsid w:val="75C2004C"/>
    <w:rsid w:val="75C759C1"/>
    <w:rsid w:val="762D64F3"/>
    <w:rsid w:val="766B63D6"/>
    <w:rsid w:val="767E7EFF"/>
    <w:rsid w:val="775B4604"/>
    <w:rsid w:val="77C067C3"/>
    <w:rsid w:val="783F569F"/>
    <w:rsid w:val="78911E31"/>
    <w:rsid w:val="7922350F"/>
    <w:rsid w:val="792B5470"/>
    <w:rsid w:val="7A9367CB"/>
    <w:rsid w:val="7AC62F94"/>
    <w:rsid w:val="7AF22571"/>
    <w:rsid w:val="7B69224B"/>
    <w:rsid w:val="7BE80F25"/>
    <w:rsid w:val="7C1C35A7"/>
    <w:rsid w:val="7C45431D"/>
    <w:rsid w:val="7D3219D5"/>
    <w:rsid w:val="7DDD0501"/>
    <w:rsid w:val="7DE51372"/>
    <w:rsid w:val="7DFF100D"/>
    <w:rsid w:val="7E5E590F"/>
    <w:rsid w:val="7E935AFB"/>
    <w:rsid w:val="7F200765"/>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0"/>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1"/>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8"/>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2"/>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8"/>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7"/>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6"/>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5"/>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character" w:customStyle="1" w:styleId="52">
    <w:name w:val="normaltextrun"/>
    <w:basedOn w:val="18"/>
    <w:qFormat/>
    <w:uiPriority w:val="0"/>
  </w:style>
  <w:style w:type="character" w:customStyle="1" w:styleId="53">
    <w:name w:val="eop"/>
    <w:basedOn w:val="18"/>
    <w:qFormat/>
    <w:uiPriority w:val="0"/>
  </w:style>
  <w:style w:type="paragraph" w:customStyle="1" w:styleId="54">
    <w:name w:val="paragraph"/>
    <w:basedOn w:val="1"/>
    <w:qFormat/>
    <w:uiPriority w:val="0"/>
    <w:pPr>
      <w:spacing w:before="100" w:beforeAutospacing="1" w:after="100" w:afterAutospacing="1"/>
    </w:pPr>
    <w:rPr>
      <w:rFonts w:eastAsia="Times New Roman"/>
      <w:sz w:val="24"/>
      <w:szCs w:val="24"/>
    </w:rPr>
  </w:style>
  <w:style w:type="paragraph" w:customStyle="1" w:styleId="55">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6">
    <w:name w:val="B2"/>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2022-09-30T14:10:59Z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